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9332FE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bookmarkStart w:id="0" w:name="_GoBack"/>
      <w:bookmarkEnd w:id="0"/>
      <w:r w:rsidRPr="00F77997">
        <w:rPr>
          <w:rFonts w:ascii="Arial" w:eastAsia="Times New Roman" w:hAnsi="Arial" w:cs="Arial"/>
          <w:b/>
          <w:sz w:val="24"/>
          <w:szCs w:val="24"/>
          <w:lang w:eastAsia="cs-CZ"/>
        </w:rPr>
        <w:t>Příloha č. 4</w:t>
      </w: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Rekonstrukce a výstavba PZS na přejezdu P2752 v km 9,925 trati Čelákovice – Neratovice</w:t>
            </w:r>
          </w:p>
        </w:tc>
      </w:tr>
      <w:tr w:rsidR="009332FE" w:rsidRPr="009332FE" w:rsidTr="009332FE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  <w:r w:rsidRPr="009332FE">
        <w:rPr>
          <w:rFonts w:ascii="Arial" w:eastAsia="Times New Roman" w:hAnsi="Arial" w:cs="Arial"/>
          <w:color w:val="FF0000"/>
          <w:sz w:val="19"/>
          <w:szCs w:val="19"/>
          <w:highlight w:val="yellow"/>
          <w:lang w:eastAsia="cs-CZ"/>
        </w:rPr>
        <w:t>*) nejsou-li činnosti vyžadovány proškrtnout políčka (ne vyškrtnout!), aby je zhotovitel nevyplňoval</w:t>
      </w: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F7799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 xml:space="preserve">Rekonstrukce a výstavba PZS na přejezdu P2752 v km </w:t>
            </w:r>
            <w:r w:rsidR="00F7799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10,693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trati Čelákovice</w:t>
            </w:r>
            <w:r w:rsidR="00F7799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-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Neratovice</w:t>
            </w:r>
          </w:p>
        </w:tc>
      </w:tr>
      <w:tr w:rsidR="009332FE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  <w:r w:rsidRPr="009332FE">
        <w:rPr>
          <w:rFonts w:ascii="Arial" w:eastAsia="Times New Roman" w:hAnsi="Arial" w:cs="Arial"/>
          <w:color w:val="FF0000"/>
          <w:sz w:val="19"/>
          <w:szCs w:val="19"/>
          <w:highlight w:val="yellow"/>
          <w:lang w:eastAsia="cs-CZ"/>
        </w:rPr>
        <w:t>*) nejsou-li činnosti vyžadovány proškrtnout políčka (ne vyškrtnout!), aby je zhotovitel nevyplňoval</w:t>
      </w: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F77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lastRenderedPageBreak/>
              <w:t xml:space="preserve">Rekonstrukce a výstavba PZS na přejezdu P2752 v km </w:t>
            </w:r>
            <w:r w:rsidR="00F7799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4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,</w:t>
            </w:r>
            <w:r w:rsidR="00F77997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884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 trati Čelákovice – Neratovice</w:t>
            </w:r>
          </w:p>
        </w:tc>
      </w:tr>
      <w:tr w:rsidR="009332FE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4*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881B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  <w:r w:rsidRPr="009332FE">
        <w:rPr>
          <w:rFonts w:ascii="Arial" w:eastAsia="Times New Roman" w:hAnsi="Arial" w:cs="Arial"/>
          <w:color w:val="FF0000"/>
          <w:sz w:val="19"/>
          <w:szCs w:val="19"/>
          <w:highlight w:val="yellow"/>
          <w:lang w:eastAsia="cs-CZ"/>
        </w:rPr>
        <w:t>*) nejsou-li činnosti vyžadovány proškrtnout políčka (ne vyškrtnout!), aby je zhotovitel nevyplňoval</w:t>
      </w: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sectPr w:rsidR="009332FE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26A" w:rsidRDefault="00E8426A" w:rsidP="00F77997">
      <w:pPr>
        <w:spacing w:after="0" w:line="240" w:lineRule="auto"/>
      </w:pPr>
      <w:r>
        <w:separator/>
      </w:r>
    </w:p>
  </w:endnote>
  <w:endnote w:type="continuationSeparator" w:id="0">
    <w:p w:rsidR="00E8426A" w:rsidRDefault="00E8426A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5D9">
          <w:rPr>
            <w:noProof/>
          </w:rPr>
          <w:t>1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26A" w:rsidRDefault="00E8426A" w:rsidP="00F77997">
      <w:pPr>
        <w:spacing w:after="0" w:line="240" w:lineRule="auto"/>
      </w:pPr>
      <w:r>
        <w:separator/>
      </w:r>
    </w:p>
  </w:footnote>
  <w:footnote w:type="continuationSeparator" w:id="0">
    <w:p w:rsidR="00E8426A" w:rsidRDefault="00E8426A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127826"/>
    <w:rsid w:val="001C5A43"/>
    <w:rsid w:val="003727EC"/>
    <w:rsid w:val="006664C2"/>
    <w:rsid w:val="007C6A01"/>
    <w:rsid w:val="00917898"/>
    <w:rsid w:val="009332FE"/>
    <w:rsid w:val="009C75D9"/>
    <w:rsid w:val="00BF6A6B"/>
    <w:rsid w:val="00E8426A"/>
    <w:rsid w:val="00F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Kubátová</dc:creator>
  <cp:lastModifiedBy>Hlídková Vladimíra</cp:lastModifiedBy>
  <cp:revision>2</cp:revision>
  <dcterms:created xsi:type="dcterms:W3CDTF">2020-10-19T14:18:00Z</dcterms:created>
  <dcterms:modified xsi:type="dcterms:W3CDTF">2020-10-19T14:18:00Z</dcterms:modified>
</cp:coreProperties>
</file>